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015"/>
      </w:tblGrid>
      <w:tr w:rsidR="00A14EB3" w:rsidRPr="0082248D" w14:paraId="46ED911E" w14:textId="77777777" w:rsidTr="00B6646B">
        <w:tc>
          <w:tcPr>
            <w:tcW w:w="9720" w:type="dxa"/>
            <w:gridSpan w:val="2"/>
            <w:shd w:val="clear" w:color="auto" w:fill="FFCC00"/>
          </w:tcPr>
          <w:p w14:paraId="4A87D057" w14:textId="77777777" w:rsidR="00A14EB3" w:rsidRPr="0082248D" w:rsidRDefault="00DE6A3B" w:rsidP="0082248D">
            <w:pPr>
              <w:jc w:val="center"/>
              <w:rPr>
                <w:rFonts w:ascii="Comic Sans MS" w:hAnsi="Comic Sans MS"/>
                <w:b/>
                <w:sz w:val="28"/>
                <w:szCs w:val="28"/>
              </w:rPr>
            </w:pPr>
            <w:bookmarkStart w:id="0" w:name="_GoBack"/>
            <w:bookmarkEnd w:id="0"/>
            <w:r w:rsidRPr="0082248D">
              <w:rPr>
                <w:rFonts w:ascii="Comic Sans MS" w:hAnsi="Comic Sans MS"/>
                <w:b/>
                <w:sz w:val="28"/>
                <w:szCs w:val="28"/>
              </w:rPr>
              <w:t>Unit Overview</w:t>
            </w:r>
          </w:p>
          <w:p w14:paraId="382E4AC9" w14:textId="62F7C308" w:rsidR="00A14EB3" w:rsidRDefault="006E7B34" w:rsidP="002A36DB">
            <w:pPr>
              <w:jc w:val="center"/>
              <w:rPr>
                <w:rFonts w:ascii="Comic Sans MS" w:hAnsi="Comic Sans MS"/>
                <w:b/>
                <w:sz w:val="28"/>
                <w:szCs w:val="28"/>
              </w:rPr>
            </w:pPr>
            <w:r>
              <w:rPr>
                <w:rFonts w:ascii="Comic Sans MS" w:hAnsi="Comic Sans MS"/>
                <w:b/>
                <w:sz w:val="28"/>
                <w:szCs w:val="28"/>
              </w:rPr>
              <w:t>Persuasive Writing of All Kinds: Using Words to Make a Change</w:t>
            </w:r>
          </w:p>
          <w:p w14:paraId="5750843A" w14:textId="5601E4B8" w:rsidR="006E7B34" w:rsidRPr="0082248D" w:rsidRDefault="006E7B34" w:rsidP="002A36DB">
            <w:pPr>
              <w:jc w:val="center"/>
              <w:rPr>
                <w:rFonts w:ascii="Comic Sans MS" w:hAnsi="Comic Sans MS"/>
              </w:rPr>
            </w:pPr>
            <w:r>
              <w:rPr>
                <w:rFonts w:ascii="Comic Sans MS" w:hAnsi="Comic Sans MS"/>
                <w:b/>
                <w:sz w:val="28"/>
                <w:szCs w:val="28"/>
              </w:rPr>
              <w:t>(Opinion Writing)</w:t>
            </w:r>
          </w:p>
        </w:tc>
      </w:tr>
      <w:tr w:rsidR="001B0B6D" w:rsidRPr="0082248D" w14:paraId="71EA74BD" w14:textId="77777777" w:rsidTr="001B0B6D">
        <w:tc>
          <w:tcPr>
            <w:tcW w:w="1705" w:type="dxa"/>
            <w:shd w:val="clear" w:color="auto" w:fill="auto"/>
          </w:tcPr>
          <w:p w14:paraId="22E502E4" w14:textId="77777777" w:rsidR="00A14EB3" w:rsidRPr="001A0909" w:rsidRDefault="00DE6A3B">
            <w:pPr>
              <w:rPr>
                <w:rFonts w:ascii="Comic Sans MS" w:hAnsi="Comic Sans MS"/>
                <w:b/>
                <w:sz w:val="22"/>
                <w:szCs w:val="22"/>
              </w:rPr>
            </w:pPr>
            <w:r w:rsidRPr="001A0909">
              <w:rPr>
                <w:rFonts w:ascii="Comic Sans MS" w:hAnsi="Comic Sans MS"/>
                <w:b/>
                <w:sz w:val="22"/>
                <w:szCs w:val="22"/>
              </w:rPr>
              <w:t>Focus Teaching Points</w:t>
            </w:r>
          </w:p>
        </w:tc>
        <w:tc>
          <w:tcPr>
            <w:tcW w:w="8015" w:type="dxa"/>
            <w:shd w:val="clear" w:color="auto" w:fill="auto"/>
          </w:tcPr>
          <w:p w14:paraId="1D07012B" w14:textId="77777777" w:rsidR="00ED7EC5" w:rsidRDefault="005E64C7" w:rsidP="00071D27">
            <w:pPr>
              <w:numPr>
                <w:ilvl w:val="0"/>
                <w:numId w:val="2"/>
              </w:numPr>
              <w:contextualSpacing/>
              <w:rPr>
                <w:rFonts w:ascii="Comic Sans MS" w:hAnsi="Comic Sans MS"/>
                <w:sz w:val="18"/>
                <w:szCs w:val="18"/>
              </w:rPr>
            </w:pPr>
            <w:r>
              <w:rPr>
                <w:rFonts w:ascii="Comic Sans MS" w:hAnsi="Comic Sans MS"/>
                <w:sz w:val="18"/>
                <w:szCs w:val="18"/>
              </w:rPr>
              <w:t>Using words to make things happen</w:t>
            </w:r>
          </w:p>
          <w:p w14:paraId="013DD98A" w14:textId="7668B995" w:rsidR="005E64C7" w:rsidRDefault="005E64C7" w:rsidP="00071D27">
            <w:pPr>
              <w:numPr>
                <w:ilvl w:val="0"/>
                <w:numId w:val="2"/>
              </w:numPr>
              <w:contextualSpacing/>
              <w:rPr>
                <w:rFonts w:ascii="Comic Sans MS" w:hAnsi="Comic Sans MS"/>
                <w:sz w:val="18"/>
                <w:szCs w:val="18"/>
              </w:rPr>
            </w:pPr>
            <w:r>
              <w:rPr>
                <w:rFonts w:ascii="Comic Sans MS" w:hAnsi="Comic Sans MS"/>
                <w:sz w:val="18"/>
                <w:szCs w:val="18"/>
              </w:rPr>
              <w:t>Using reasons and consequences to make writing more convincing</w:t>
            </w:r>
          </w:p>
          <w:p w14:paraId="2AA47195" w14:textId="77777777" w:rsidR="005E64C7" w:rsidRDefault="005E64C7" w:rsidP="00071D27">
            <w:pPr>
              <w:numPr>
                <w:ilvl w:val="0"/>
                <w:numId w:val="2"/>
              </w:numPr>
              <w:contextualSpacing/>
              <w:rPr>
                <w:rFonts w:ascii="Comic Sans MS" w:hAnsi="Comic Sans MS"/>
                <w:sz w:val="18"/>
                <w:szCs w:val="18"/>
              </w:rPr>
            </w:pPr>
            <w:r>
              <w:rPr>
                <w:rFonts w:ascii="Comic Sans MS" w:hAnsi="Comic Sans MS"/>
                <w:sz w:val="18"/>
                <w:szCs w:val="18"/>
              </w:rPr>
              <w:t>Writing for a variety of purposes and to a variety of audiences</w:t>
            </w:r>
          </w:p>
          <w:p w14:paraId="5CA7C203" w14:textId="77777777" w:rsidR="005E64C7" w:rsidRDefault="005E64C7" w:rsidP="00071D27">
            <w:pPr>
              <w:numPr>
                <w:ilvl w:val="0"/>
                <w:numId w:val="2"/>
              </w:numPr>
              <w:contextualSpacing/>
              <w:rPr>
                <w:rFonts w:ascii="Comic Sans MS" w:hAnsi="Comic Sans MS"/>
                <w:sz w:val="18"/>
                <w:szCs w:val="18"/>
              </w:rPr>
            </w:pPr>
            <w:r>
              <w:rPr>
                <w:rFonts w:ascii="Comic Sans MS" w:hAnsi="Comic Sans MS"/>
                <w:sz w:val="18"/>
                <w:szCs w:val="18"/>
              </w:rPr>
              <w:t>Rereading and editing to make writing more clear to the reader</w:t>
            </w:r>
          </w:p>
          <w:p w14:paraId="42779BFE" w14:textId="77777777" w:rsidR="005E64C7" w:rsidRDefault="005E64C7" w:rsidP="00071D27">
            <w:pPr>
              <w:numPr>
                <w:ilvl w:val="0"/>
                <w:numId w:val="2"/>
              </w:numPr>
              <w:contextualSpacing/>
              <w:rPr>
                <w:rFonts w:ascii="Comic Sans MS" w:hAnsi="Comic Sans MS"/>
                <w:sz w:val="18"/>
                <w:szCs w:val="18"/>
              </w:rPr>
            </w:pPr>
            <w:r>
              <w:rPr>
                <w:rFonts w:ascii="Comic Sans MS" w:hAnsi="Comic Sans MS"/>
                <w:sz w:val="18"/>
                <w:szCs w:val="18"/>
              </w:rPr>
              <w:t>Writing in different ways, depending on the audience</w:t>
            </w:r>
          </w:p>
          <w:p w14:paraId="15CBACF2" w14:textId="77777777" w:rsidR="005E64C7" w:rsidRDefault="005E64C7" w:rsidP="00071D27">
            <w:pPr>
              <w:numPr>
                <w:ilvl w:val="0"/>
                <w:numId w:val="2"/>
              </w:numPr>
              <w:contextualSpacing/>
              <w:rPr>
                <w:rFonts w:ascii="Comic Sans MS" w:hAnsi="Comic Sans MS"/>
                <w:sz w:val="18"/>
                <w:szCs w:val="18"/>
              </w:rPr>
            </w:pPr>
            <w:r>
              <w:rPr>
                <w:rFonts w:ascii="Comic Sans MS" w:hAnsi="Comic Sans MS"/>
                <w:sz w:val="18"/>
                <w:szCs w:val="18"/>
              </w:rPr>
              <w:t>Including possible ideas for fixing problems to make writing more convincing</w:t>
            </w:r>
          </w:p>
          <w:p w14:paraId="0FC61162" w14:textId="1BF8DB37" w:rsidR="005E64C7" w:rsidRDefault="00E00B21" w:rsidP="00071D27">
            <w:pPr>
              <w:numPr>
                <w:ilvl w:val="0"/>
                <w:numId w:val="2"/>
              </w:numPr>
              <w:contextualSpacing/>
              <w:rPr>
                <w:rFonts w:ascii="Comic Sans MS" w:hAnsi="Comic Sans MS"/>
                <w:sz w:val="18"/>
                <w:szCs w:val="18"/>
              </w:rPr>
            </w:pPr>
            <w:r>
              <w:rPr>
                <w:rFonts w:ascii="Comic Sans MS" w:hAnsi="Comic Sans MS"/>
                <w:sz w:val="18"/>
                <w:szCs w:val="18"/>
              </w:rPr>
              <w:t>Including facts to make</w:t>
            </w:r>
            <w:r w:rsidR="005E64C7">
              <w:rPr>
                <w:rFonts w:ascii="Comic Sans MS" w:hAnsi="Comic Sans MS"/>
                <w:sz w:val="18"/>
                <w:szCs w:val="18"/>
              </w:rPr>
              <w:t xml:space="preserve"> writing more convincing</w:t>
            </w:r>
          </w:p>
          <w:p w14:paraId="50A8623B" w14:textId="77777777" w:rsidR="005E64C7" w:rsidRDefault="005E64C7" w:rsidP="00071D27">
            <w:pPr>
              <w:numPr>
                <w:ilvl w:val="0"/>
                <w:numId w:val="2"/>
              </w:numPr>
              <w:contextualSpacing/>
              <w:rPr>
                <w:rFonts w:ascii="Comic Sans MS" w:hAnsi="Comic Sans MS"/>
                <w:sz w:val="18"/>
                <w:szCs w:val="18"/>
              </w:rPr>
            </w:pPr>
            <w:r>
              <w:rPr>
                <w:rFonts w:ascii="Comic Sans MS" w:hAnsi="Comic Sans MS"/>
                <w:sz w:val="18"/>
                <w:szCs w:val="18"/>
              </w:rPr>
              <w:t>Using an editing checklist to be sure readers can read this important writing</w:t>
            </w:r>
          </w:p>
          <w:p w14:paraId="58EF5DB3" w14:textId="6D2989F6" w:rsidR="005E64C7" w:rsidRPr="00071D27" w:rsidRDefault="005E64C7" w:rsidP="00071D27">
            <w:pPr>
              <w:numPr>
                <w:ilvl w:val="0"/>
                <w:numId w:val="2"/>
              </w:numPr>
              <w:contextualSpacing/>
              <w:rPr>
                <w:rFonts w:ascii="Comic Sans MS" w:hAnsi="Comic Sans MS"/>
                <w:sz w:val="18"/>
                <w:szCs w:val="18"/>
              </w:rPr>
            </w:pPr>
            <w:r>
              <w:rPr>
                <w:rFonts w:ascii="Comic Sans MS" w:hAnsi="Comic Sans MS"/>
                <w:sz w:val="18"/>
                <w:szCs w:val="18"/>
              </w:rPr>
              <w:t>Sending opinions out into the world</w:t>
            </w:r>
          </w:p>
        </w:tc>
      </w:tr>
      <w:tr w:rsidR="001B0B6D" w:rsidRPr="0082248D" w14:paraId="682D6BA7" w14:textId="77777777" w:rsidTr="001B0B6D">
        <w:trPr>
          <w:trHeight w:val="1484"/>
        </w:trPr>
        <w:tc>
          <w:tcPr>
            <w:tcW w:w="1705" w:type="dxa"/>
            <w:shd w:val="clear" w:color="auto" w:fill="auto"/>
          </w:tcPr>
          <w:p w14:paraId="4A8D7943" w14:textId="66CD4DAB" w:rsidR="00DE6A3B" w:rsidRPr="001A0909" w:rsidRDefault="00DE6A3B">
            <w:pPr>
              <w:rPr>
                <w:rFonts w:ascii="Comic Sans MS" w:hAnsi="Comic Sans MS"/>
                <w:b/>
                <w:sz w:val="22"/>
                <w:szCs w:val="22"/>
              </w:rPr>
            </w:pPr>
            <w:r w:rsidRPr="001A0909">
              <w:rPr>
                <w:rFonts w:ascii="Comic Sans MS" w:hAnsi="Comic Sans MS"/>
                <w:b/>
                <w:sz w:val="22"/>
                <w:szCs w:val="22"/>
              </w:rPr>
              <w:t>Key CCSS Standards</w:t>
            </w:r>
          </w:p>
        </w:tc>
        <w:tc>
          <w:tcPr>
            <w:tcW w:w="8015" w:type="dxa"/>
            <w:shd w:val="clear" w:color="auto" w:fill="auto"/>
          </w:tcPr>
          <w:p w14:paraId="4FC37E3A" w14:textId="77777777" w:rsidR="006C3619" w:rsidRDefault="006C3619" w:rsidP="006C3619">
            <w:pPr>
              <w:rPr>
                <w:b/>
                <w:i/>
                <w:sz w:val="20"/>
              </w:rPr>
            </w:pPr>
            <w:r>
              <w:rPr>
                <w:b/>
                <w:i/>
                <w:sz w:val="20"/>
              </w:rPr>
              <w:t>Speaking and Listening Standards (SL)</w:t>
            </w:r>
          </w:p>
          <w:p w14:paraId="19CE63F2" w14:textId="77777777" w:rsidR="006C3619" w:rsidRDefault="006C3619" w:rsidP="006C3619">
            <w:pPr>
              <w:numPr>
                <w:ilvl w:val="0"/>
                <w:numId w:val="2"/>
              </w:numPr>
              <w:rPr>
                <w:i/>
                <w:sz w:val="20"/>
              </w:rPr>
            </w:pPr>
            <w:r>
              <w:rPr>
                <w:i/>
                <w:sz w:val="20"/>
              </w:rPr>
              <w:t>1, 2, 3, 4, 5, 6</w:t>
            </w:r>
          </w:p>
          <w:p w14:paraId="1DDCEB78" w14:textId="77777777" w:rsidR="006C3619" w:rsidRDefault="006C3619" w:rsidP="006C3619">
            <w:pPr>
              <w:rPr>
                <w:b/>
                <w:i/>
                <w:sz w:val="20"/>
              </w:rPr>
            </w:pPr>
            <w:r>
              <w:rPr>
                <w:b/>
                <w:i/>
                <w:sz w:val="20"/>
              </w:rPr>
              <w:t>Language Standards (L)</w:t>
            </w:r>
          </w:p>
          <w:p w14:paraId="7CFEDB7E" w14:textId="15D06CBB" w:rsidR="00C7259B" w:rsidRPr="00071D27" w:rsidRDefault="006C3619" w:rsidP="00C7259B">
            <w:pPr>
              <w:numPr>
                <w:ilvl w:val="0"/>
                <w:numId w:val="2"/>
              </w:numPr>
              <w:rPr>
                <w:rFonts w:ascii="Comic Sans MS" w:hAnsi="Comic Sans MS"/>
                <w:sz w:val="18"/>
                <w:szCs w:val="18"/>
              </w:rPr>
            </w:pPr>
            <w:r>
              <w:rPr>
                <w:i/>
                <w:sz w:val="20"/>
              </w:rPr>
              <w:t xml:space="preserve">1, </w:t>
            </w:r>
            <w:r w:rsidR="0093562A">
              <w:rPr>
                <w:i/>
                <w:sz w:val="20"/>
              </w:rPr>
              <w:t>2</w:t>
            </w:r>
            <w:r w:rsidR="00ED7EC5">
              <w:rPr>
                <w:i/>
                <w:sz w:val="20"/>
              </w:rPr>
              <w:t>, 4, 5, 6</w:t>
            </w:r>
          </w:p>
          <w:p w14:paraId="319B6836" w14:textId="77777777" w:rsidR="00071D27" w:rsidRDefault="00071D27" w:rsidP="00071D27">
            <w:pPr>
              <w:rPr>
                <w:b/>
                <w:i/>
                <w:sz w:val="20"/>
              </w:rPr>
            </w:pPr>
            <w:r>
              <w:rPr>
                <w:b/>
                <w:i/>
                <w:sz w:val="20"/>
              </w:rPr>
              <w:t>Writing Standards (W)</w:t>
            </w:r>
          </w:p>
          <w:p w14:paraId="3F42290B" w14:textId="3757B3A7" w:rsidR="00071D27" w:rsidRPr="00ED7EC5" w:rsidRDefault="009D7739" w:rsidP="00071D27">
            <w:pPr>
              <w:pStyle w:val="ListParagraph"/>
              <w:numPr>
                <w:ilvl w:val="0"/>
                <w:numId w:val="2"/>
              </w:numPr>
              <w:rPr>
                <w:i/>
                <w:sz w:val="20"/>
              </w:rPr>
            </w:pPr>
            <w:r>
              <w:rPr>
                <w:i/>
                <w:sz w:val="20"/>
              </w:rPr>
              <w:t>1</w:t>
            </w:r>
            <w:r w:rsidR="00ED7EC5">
              <w:rPr>
                <w:i/>
                <w:sz w:val="20"/>
              </w:rPr>
              <w:t xml:space="preserve">, </w:t>
            </w:r>
            <w:r w:rsidR="00071D27" w:rsidRPr="00071D27">
              <w:rPr>
                <w:i/>
                <w:sz w:val="20"/>
              </w:rPr>
              <w:t xml:space="preserve">5, </w:t>
            </w:r>
            <w:r w:rsidR="00ED7EC5">
              <w:rPr>
                <w:i/>
                <w:sz w:val="20"/>
              </w:rPr>
              <w:t>6</w:t>
            </w:r>
          </w:p>
        </w:tc>
      </w:tr>
      <w:tr w:rsidR="001B0B6D" w:rsidRPr="0082248D" w14:paraId="413D3F9C" w14:textId="77777777" w:rsidTr="001B0B6D">
        <w:tc>
          <w:tcPr>
            <w:tcW w:w="1705" w:type="dxa"/>
            <w:shd w:val="clear" w:color="auto" w:fill="auto"/>
          </w:tcPr>
          <w:p w14:paraId="3187CBA6" w14:textId="31F9BE8D" w:rsidR="00A14EB3" w:rsidRPr="001A0909" w:rsidRDefault="00A14EB3">
            <w:pPr>
              <w:rPr>
                <w:rFonts w:ascii="Comic Sans MS" w:hAnsi="Comic Sans MS"/>
                <w:b/>
                <w:sz w:val="22"/>
                <w:szCs w:val="22"/>
              </w:rPr>
            </w:pPr>
            <w:r w:rsidRPr="001A0909">
              <w:rPr>
                <w:rFonts w:ascii="Comic Sans MS" w:hAnsi="Comic Sans MS"/>
                <w:b/>
                <w:sz w:val="22"/>
                <w:szCs w:val="22"/>
              </w:rPr>
              <w:t>Bends in the Road</w:t>
            </w:r>
          </w:p>
        </w:tc>
        <w:tc>
          <w:tcPr>
            <w:tcW w:w="8015" w:type="dxa"/>
            <w:shd w:val="clear" w:color="auto" w:fill="auto"/>
          </w:tcPr>
          <w:p w14:paraId="030AB484" w14:textId="25864B05" w:rsidR="00C031AC" w:rsidRDefault="00E71ADA" w:rsidP="00B6646B">
            <w:pPr>
              <w:numPr>
                <w:ilvl w:val="0"/>
                <w:numId w:val="1"/>
              </w:numPr>
              <w:rPr>
                <w:rFonts w:ascii="Comic Sans MS" w:hAnsi="Comic Sans MS"/>
                <w:sz w:val="18"/>
                <w:szCs w:val="18"/>
              </w:rPr>
            </w:pPr>
            <w:r>
              <w:rPr>
                <w:rFonts w:ascii="Comic Sans MS" w:hAnsi="Comic Sans MS"/>
                <w:sz w:val="18"/>
                <w:szCs w:val="18"/>
              </w:rPr>
              <w:t>Exploring opinion writing: Making our school a better place</w:t>
            </w:r>
          </w:p>
          <w:p w14:paraId="2BF8B60A" w14:textId="77777777" w:rsidR="00E71ADA" w:rsidRDefault="00E71ADA" w:rsidP="00B6646B">
            <w:pPr>
              <w:numPr>
                <w:ilvl w:val="0"/>
                <w:numId w:val="1"/>
              </w:numPr>
              <w:rPr>
                <w:rFonts w:ascii="Comic Sans MS" w:hAnsi="Comic Sans MS"/>
                <w:sz w:val="18"/>
                <w:szCs w:val="18"/>
              </w:rPr>
            </w:pPr>
            <w:r>
              <w:rPr>
                <w:rFonts w:ascii="Comic Sans MS" w:hAnsi="Comic Sans MS"/>
                <w:sz w:val="18"/>
                <w:szCs w:val="18"/>
              </w:rPr>
              <w:t>Sending our words out into the world: Writing letters to make a change</w:t>
            </w:r>
          </w:p>
          <w:p w14:paraId="61E249FC" w14:textId="7F6C7273" w:rsidR="00E71ADA" w:rsidRPr="001A07E9" w:rsidRDefault="00E71ADA" w:rsidP="00B6646B">
            <w:pPr>
              <w:numPr>
                <w:ilvl w:val="0"/>
                <w:numId w:val="1"/>
              </w:numPr>
              <w:rPr>
                <w:rFonts w:ascii="Comic Sans MS" w:hAnsi="Comic Sans MS"/>
                <w:sz w:val="18"/>
                <w:szCs w:val="18"/>
              </w:rPr>
            </w:pPr>
            <w:r>
              <w:rPr>
                <w:rFonts w:ascii="Comic Sans MS" w:hAnsi="Comic Sans MS"/>
                <w:sz w:val="18"/>
                <w:szCs w:val="18"/>
              </w:rPr>
              <w:t>Persuasive writing projects</w:t>
            </w:r>
          </w:p>
        </w:tc>
      </w:tr>
      <w:tr w:rsidR="001B0B6D" w:rsidRPr="0082248D" w14:paraId="61176E9C" w14:textId="77777777" w:rsidTr="001B0B6D">
        <w:tc>
          <w:tcPr>
            <w:tcW w:w="1705" w:type="dxa"/>
            <w:shd w:val="clear" w:color="auto" w:fill="auto"/>
          </w:tcPr>
          <w:p w14:paraId="65BE0F33" w14:textId="4CBBE593" w:rsidR="001B72F6" w:rsidRPr="001A0909" w:rsidRDefault="001B72F6">
            <w:pPr>
              <w:rPr>
                <w:rFonts w:ascii="Comic Sans MS" w:hAnsi="Comic Sans MS"/>
                <w:b/>
                <w:sz w:val="22"/>
                <w:szCs w:val="22"/>
              </w:rPr>
            </w:pPr>
            <w:r w:rsidRPr="001A0909">
              <w:rPr>
                <w:rFonts w:ascii="Comic Sans MS" w:hAnsi="Comic Sans MS"/>
                <w:b/>
                <w:sz w:val="22"/>
                <w:szCs w:val="22"/>
              </w:rPr>
              <w:t>Recommended Professional Resource to Guide Instruction</w:t>
            </w:r>
          </w:p>
        </w:tc>
        <w:tc>
          <w:tcPr>
            <w:tcW w:w="8015" w:type="dxa"/>
            <w:shd w:val="clear" w:color="auto" w:fill="auto"/>
          </w:tcPr>
          <w:p w14:paraId="4759F4F6" w14:textId="348B1B79" w:rsidR="006D29B9" w:rsidRPr="00BE271F" w:rsidRDefault="00E71ADA" w:rsidP="006D29B9">
            <w:pPr>
              <w:numPr>
                <w:ilvl w:val="0"/>
                <w:numId w:val="1"/>
              </w:numPr>
              <w:rPr>
                <w:rFonts w:ascii="Comic Sans MS" w:hAnsi="Comic Sans MS"/>
                <w:sz w:val="18"/>
                <w:szCs w:val="18"/>
                <w:u w:val="single"/>
              </w:rPr>
            </w:pPr>
            <w:r w:rsidRPr="00E71ADA">
              <w:rPr>
                <w:rFonts w:ascii="Comic Sans MS" w:hAnsi="Comic Sans MS"/>
                <w:i/>
                <w:sz w:val="18"/>
                <w:szCs w:val="18"/>
              </w:rPr>
              <w:t>Persuasive Writing of All Kinds: Using Words to Make a Change</w:t>
            </w:r>
            <w:r>
              <w:rPr>
                <w:rFonts w:ascii="Comic Sans MS" w:hAnsi="Comic Sans MS"/>
                <w:sz w:val="18"/>
                <w:szCs w:val="18"/>
              </w:rPr>
              <w:t xml:space="preserve"> by Lucy Calkins and Elizabeth </w:t>
            </w:r>
            <w:proofErr w:type="spellStart"/>
            <w:r>
              <w:rPr>
                <w:rFonts w:ascii="Comic Sans MS" w:hAnsi="Comic Sans MS"/>
                <w:sz w:val="18"/>
                <w:szCs w:val="18"/>
              </w:rPr>
              <w:t>Dunford</w:t>
            </w:r>
            <w:proofErr w:type="spellEnd"/>
            <w:r>
              <w:rPr>
                <w:rFonts w:ascii="Comic Sans MS" w:hAnsi="Comic Sans MS"/>
                <w:sz w:val="18"/>
                <w:szCs w:val="18"/>
              </w:rPr>
              <w:t xml:space="preserve"> from </w:t>
            </w:r>
            <w:r>
              <w:rPr>
                <w:rFonts w:ascii="Comic Sans MS" w:hAnsi="Comic Sans MS"/>
                <w:i/>
                <w:sz w:val="18"/>
                <w:szCs w:val="18"/>
              </w:rPr>
              <w:t>Units of Study in Opinion, Information, and Narrative Writing</w:t>
            </w:r>
            <w:r w:rsidR="008F28E0">
              <w:rPr>
                <w:rFonts w:ascii="Comic Sans MS" w:hAnsi="Comic Sans MS"/>
                <w:sz w:val="18"/>
                <w:szCs w:val="18"/>
              </w:rPr>
              <w:t xml:space="preserve">, as well as the correlating resources for this unit found on </w:t>
            </w:r>
            <w:hyperlink r:id="rId7" w:history="1">
              <w:r w:rsidR="008F28E0" w:rsidRPr="008F28E0">
                <w:rPr>
                  <w:rStyle w:val="Hyperlink"/>
                  <w:rFonts w:ascii="Comic Sans MS" w:hAnsi="Comic Sans MS"/>
                  <w:sz w:val="18"/>
                  <w:szCs w:val="18"/>
                </w:rPr>
                <w:t>heinemann.com</w:t>
              </w:r>
            </w:hyperlink>
          </w:p>
        </w:tc>
      </w:tr>
      <w:tr w:rsidR="001B0B6D" w:rsidRPr="0082248D" w14:paraId="79C79026" w14:textId="77777777" w:rsidTr="001B0B6D">
        <w:tc>
          <w:tcPr>
            <w:tcW w:w="1705" w:type="dxa"/>
            <w:shd w:val="clear" w:color="auto" w:fill="auto"/>
          </w:tcPr>
          <w:p w14:paraId="5AFB506E" w14:textId="5C80E031" w:rsidR="00DE6A3B" w:rsidRPr="001A0909" w:rsidRDefault="00DE6A3B">
            <w:pPr>
              <w:rPr>
                <w:rFonts w:ascii="Comic Sans MS" w:hAnsi="Comic Sans MS"/>
                <w:b/>
                <w:sz w:val="22"/>
                <w:szCs w:val="22"/>
              </w:rPr>
            </w:pPr>
            <w:r w:rsidRPr="001A0909">
              <w:rPr>
                <w:rFonts w:ascii="Comic Sans MS" w:hAnsi="Comic Sans MS"/>
                <w:b/>
                <w:sz w:val="22"/>
                <w:szCs w:val="22"/>
              </w:rPr>
              <w:t>Suggested Mentor Texts</w:t>
            </w:r>
          </w:p>
        </w:tc>
        <w:tc>
          <w:tcPr>
            <w:tcW w:w="8015" w:type="dxa"/>
            <w:shd w:val="clear" w:color="auto" w:fill="auto"/>
          </w:tcPr>
          <w:p w14:paraId="5065CC1A" w14:textId="687A64BE" w:rsidR="00F0333A" w:rsidRPr="00F0333A" w:rsidRDefault="00F0333A" w:rsidP="00DB1B11">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Palatino"/>
                <w:iCs/>
                <w:color w:val="1A1718"/>
                <w:sz w:val="18"/>
                <w:szCs w:val="18"/>
              </w:rPr>
              <w:t xml:space="preserve">Texts that contain persuasive writing, such as </w:t>
            </w:r>
          </w:p>
          <w:p w14:paraId="6B380CD9" w14:textId="77777777" w:rsidR="0092670B" w:rsidRPr="00F0333A" w:rsidRDefault="00F0333A"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Click, Clack, Moo: Cows that Type</w:t>
            </w:r>
            <w:r>
              <w:rPr>
                <w:rFonts w:ascii="Comic Sans MS" w:hAnsi="Comic Sans MS" w:cs="Palatino"/>
                <w:iCs/>
                <w:color w:val="1A1718"/>
                <w:sz w:val="18"/>
                <w:szCs w:val="18"/>
              </w:rPr>
              <w:t xml:space="preserve"> by Doreen Cronin</w:t>
            </w:r>
          </w:p>
          <w:p w14:paraId="2D972592" w14:textId="77777777" w:rsidR="00F0333A" w:rsidRPr="00FD0BF0" w:rsidRDefault="00F0333A"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Corduroy Writes a Letter</w:t>
            </w:r>
            <w:r>
              <w:rPr>
                <w:rFonts w:ascii="Comic Sans MS" w:hAnsi="Comic Sans MS" w:cs="Palatino"/>
                <w:iCs/>
                <w:color w:val="1A1718"/>
                <w:sz w:val="18"/>
                <w:szCs w:val="18"/>
              </w:rPr>
              <w:t xml:space="preserve"> by Alison Inches</w:t>
            </w:r>
          </w:p>
          <w:p w14:paraId="0C90E2F0" w14:textId="77777777" w:rsidR="00FD0BF0" w:rsidRPr="00DF1BE6" w:rsidRDefault="00FD0BF0"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 xml:space="preserve">I </w:t>
            </w:r>
            <w:proofErr w:type="spellStart"/>
            <w:r>
              <w:rPr>
                <w:rFonts w:ascii="Comic Sans MS" w:hAnsi="Comic Sans MS" w:cs="Palatino"/>
                <w:i/>
                <w:iCs/>
                <w:color w:val="1A1718"/>
                <w:sz w:val="18"/>
                <w:szCs w:val="18"/>
              </w:rPr>
              <w:t>Wanna</w:t>
            </w:r>
            <w:proofErr w:type="spellEnd"/>
            <w:r>
              <w:rPr>
                <w:rFonts w:ascii="Comic Sans MS" w:hAnsi="Comic Sans MS" w:cs="Palatino"/>
                <w:i/>
                <w:iCs/>
                <w:color w:val="1A1718"/>
                <w:sz w:val="18"/>
                <w:szCs w:val="18"/>
              </w:rPr>
              <w:t xml:space="preserve"> New </w:t>
            </w:r>
            <w:proofErr w:type="gramStart"/>
            <w:r>
              <w:rPr>
                <w:rFonts w:ascii="Comic Sans MS" w:hAnsi="Comic Sans MS" w:cs="Palatino"/>
                <w:i/>
                <w:iCs/>
                <w:color w:val="1A1718"/>
                <w:sz w:val="18"/>
                <w:szCs w:val="18"/>
              </w:rPr>
              <w:t xml:space="preserve">Room </w:t>
            </w:r>
            <w:r w:rsidR="00DF1BE6">
              <w:rPr>
                <w:rFonts w:ascii="Comic Sans MS" w:hAnsi="Comic Sans MS" w:cs="Palatino"/>
                <w:iCs/>
                <w:color w:val="1A1718"/>
                <w:sz w:val="18"/>
                <w:szCs w:val="18"/>
              </w:rPr>
              <w:t xml:space="preserve"> by</w:t>
            </w:r>
            <w:proofErr w:type="gramEnd"/>
            <w:r w:rsidR="00DF1BE6">
              <w:rPr>
                <w:rFonts w:ascii="Comic Sans MS" w:hAnsi="Comic Sans MS" w:cs="Palatino"/>
                <w:iCs/>
                <w:color w:val="1A1718"/>
                <w:sz w:val="18"/>
                <w:szCs w:val="18"/>
              </w:rPr>
              <w:t xml:space="preserve"> Karen Kaufman </w:t>
            </w:r>
            <w:proofErr w:type="spellStart"/>
            <w:r w:rsidR="00DF1BE6">
              <w:rPr>
                <w:rFonts w:ascii="Comic Sans MS" w:hAnsi="Comic Sans MS" w:cs="Palatino"/>
                <w:iCs/>
                <w:color w:val="1A1718"/>
                <w:sz w:val="18"/>
                <w:szCs w:val="18"/>
              </w:rPr>
              <w:t>Orloff</w:t>
            </w:r>
            <w:proofErr w:type="spellEnd"/>
          </w:p>
          <w:p w14:paraId="76D788B0" w14:textId="77777777" w:rsidR="00DF1BE6" w:rsidRPr="00476604" w:rsidRDefault="00DF1BE6"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The Lorax</w:t>
            </w:r>
            <w:r>
              <w:rPr>
                <w:rFonts w:ascii="Comic Sans MS" w:hAnsi="Comic Sans MS" w:cs="Palatino"/>
                <w:iCs/>
                <w:color w:val="1A1718"/>
                <w:sz w:val="18"/>
                <w:szCs w:val="18"/>
              </w:rPr>
              <w:t xml:space="preserve"> by Dr. Seuss</w:t>
            </w:r>
          </w:p>
          <w:p w14:paraId="76496C2A" w14:textId="32F5CF29" w:rsidR="001A0909" w:rsidRPr="001A0909" w:rsidRDefault="00427524" w:rsidP="00EE5CE6">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See Session 17 on </w:t>
            </w:r>
            <w:r w:rsidR="00CA2424">
              <w:rPr>
                <w:rFonts w:ascii="Comic Sans MS" w:hAnsi="Comic Sans MS" w:cs="Times"/>
                <w:sz w:val="18"/>
                <w:szCs w:val="18"/>
              </w:rPr>
              <w:t>the Heinemann online resources for a link to a video of</w:t>
            </w:r>
            <w:r w:rsidR="00EE5CE6">
              <w:rPr>
                <w:rFonts w:ascii="Comic Sans MS" w:hAnsi="Comic Sans MS" w:cs="Times"/>
                <w:sz w:val="18"/>
                <w:szCs w:val="18"/>
              </w:rPr>
              <w:t xml:space="preserve"> a </w:t>
            </w:r>
            <w:hyperlink r:id="rId8" w:history="1">
              <w:r w:rsidR="00EE5CE6" w:rsidRPr="00EE5CE6">
                <w:rPr>
                  <w:rStyle w:val="Hyperlink"/>
                  <w:rFonts w:ascii="Comic Sans MS" w:hAnsi="Comic Sans MS" w:cs="Times"/>
                  <w:sz w:val="18"/>
                  <w:szCs w:val="18"/>
                </w:rPr>
                <w:t>mentor speechmaker</w:t>
              </w:r>
            </w:hyperlink>
            <w:r w:rsidR="00CA2424">
              <w:rPr>
                <w:rFonts w:ascii="Comic Sans MS" w:hAnsi="Comic Sans MS" w:cs="Times"/>
                <w:sz w:val="18"/>
                <w:szCs w:val="18"/>
              </w:rPr>
              <w:t xml:space="preserve"> that will inspire your students to persuade!</w:t>
            </w:r>
          </w:p>
        </w:tc>
      </w:tr>
      <w:tr w:rsidR="001B0B6D" w:rsidRPr="0082248D" w14:paraId="5198B7B7" w14:textId="77777777" w:rsidTr="001B0B6D">
        <w:trPr>
          <w:trHeight w:val="5552"/>
        </w:trPr>
        <w:tc>
          <w:tcPr>
            <w:tcW w:w="1705" w:type="dxa"/>
            <w:shd w:val="clear" w:color="auto" w:fill="auto"/>
          </w:tcPr>
          <w:p w14:paraId="77F1FC9C" w14:textId="2D5ECFFB" w:rsidR="00A14EB3" w:rsidRPr="001A0909" w:rsidRDefault="005A587F" w:rsidP="00D84A60">
            <w:pPr>
              <w:rPr>
                <w:rFonts w:ascii="Comic Sans MS" w:hAnsi="Comic Sans MS"/>
                <w:b/>
                <w:sz w:val="22"/>
                <w:szCs w:val="22"/>
              </w:rPr>
            </w:pPr>
            <w:r w:rsidRPr="001A0909">
              <w:rPr>
                <w:rFonts w:ascii="Comic Sans MS" w:hAnsi="Comic Sans MS"/>
                <w:b/>
                <w:sz w:val="22"/>
                <w:szCs w:val="22"/>
              </w:rPr>
              <w:lastRenderedPageBreak/>
              <w:t xml:space="preserve">Tips </w:t>
            </w:r>
            <w:r w:rsidR="00D84A60" w:rsidRPr="001A0909">
              <w:rPr>
                <w:rFonts w:ascii="Comic Sans MS" w:hAnsi="Comic Sans MS"/>
                <w:b/>
                <w:sz w:val="22"/>
                <w:szCs w:val="22"/>
              </w:rPr>
              <w:t>for the Unit</w:t>
            </w:r>
          </w:p>
        </w:tc>
        <w:tc>
          <w:tcPr>
            <w:tcW w:w="8015" w:type="dxa"/>
            <w:shd w:val="clear" w:color="auto" w:fill="auto"/>
          </w:tcPr>
          <w:p w14:paraId="7E27AFDE" w14:textId="27139D65" w:rsidR="00F101B4" w:rsidRDefault="00F101B4" w:rsidP="00446292">
            <w:pPr>
              <w:numPr>
                <w:ilvl w:val="0"/>
                <w:numId w:val="11"/>
              </w:numPr>
              <w:rPr>
                <w:rFonts w:ascii="Comic Sans MS" w:hAnsi="Comic Sans MS"/>
                <w:sz w:val="18"/>
                <w:szCs w:val="18"/>
              </w:rPr>
            </w:pPr>
            <w:r>
              <w:rPr>
                <w:rFonts w:ascii="Comic Sans MS" w:hAnsi="Comic Sans MS"/>
                <w:sz w:val="18"/>
                <w:szCs w:val="18"/>
              </w:rPr>
              <w:t xml:space="preserve">As always, we suggest that you read the brief overview of the unit, “Welcome to the Unit” </w:t>
            </w:r>
            <w:r w:rsidR="008F28E0">
              <w:rPr>
                <w:rFonts w:ascii="Comic Sans MS" w:hAnsi="Comic Sans MS"/>
                <w:sz w:val="18"/>
                <w:szCs w:val="18"/>
              </w:rPr>
              <w:t>on pages vi – viii, to support your understanding of the unit as a whole and the contributions of each bend toward the overarching goals.</w:t>
            </w:r>
          </w:p>
          <w:p w14:paraId="4A4A47BA" w14:textId="6BC94389" w:rsidR="008E314F" w:rsidRDefault="008E314F" w:rsidP="00446292">
            <w:pPr>
              <w:numPr>
                <w:ilvl w:val="0"/>
                <w:numId w:val="11"/>
              </w:numPr>
              <w:rPr>
                <w:rFonts w:ascii="Comic Sans MS" w:hAnsi="Comic Sans MS"/>
                <w:sz w:val="18"/>
                <w:szCs w:val="18"/>
              </w:rPr>
            </w:pPr>
            <w:r>
              <w:rPr>
                <w:rFonts w:ascii="Comic Sans MS" w:hAnsi="Comic Sans MS"/>
                <w:sz w:val="18"/>
                <w:szCs w:val="18"/>
              </w:rPr>
              <w:t>It may seem unreasonable to begin this unit with an on-demand piece of writing, particularly once you see the wording on the assessment</w:t>
            </w:r>
            <w:r w:rsidR="00DF2E1A">
              <w:rPr>
                <w:rFonts w:ascii="Comic Sans MS" w:hAnsi="Comic Sans MS"/>
                <w:sz w:val="18"/>
                <w:szCs w:val="18"/>
              </w:rPr>
              <w:t xml:space="preserve"> (see the link below in the Assessment section)</w:t>
            </w:r>
            <w:r>
              <w:rPr>
                <w:rFonts w:ascii="Comic Sans MS" w:hAnsi="Comic Sans MS"/>
                <w:sz w:val="18"/>
                <w:szCs w:val="18"/>
              </w:rPr>
              <w:t>.  However, kindergartners in Plymouth have engage</w:t>
            </w:r>
            <w:r w:rsidR="00A44993">
              <w:rPr>
                <w:rFonts w:ascii="Comic Sans MS" w:hAnsi="Comic Sans MS"/>
                <w:sz w:val="18"/>
                <w:szCs w:val="18"/>
              </w:rPr>
              <w:t>d in this exact practice for several</w:t>
            </w:r>
            <w:r>
              <w:rPr>
                <w:rFonts w:ascii="Comic Sans MS" w:hAnsi="Comic Sans MS"/>
                <w:sz w:val="18"/>
                <w:szCs w:val="18"/>
              </w:rPr>
              <w:t xml:space="preserve"> years now.  The one thing we found is that kindergartners have opinions . . . and they like to share them!  This should not FEEL like a test, but rather an invitation to share their thinking.  Then move on to start the unit.  At the end of the unit, you will be so glad you gave your students this opportunity; you will see such growth!</w:t>
            </w:r>
            <w:r w:rsidR="00DF2E1A">
              <w:rPr>
                <w:rFonts w:ascii="Comic Sans MS" w:hAnsi="Comic Sans MS"/>
                <w:sz w:val="18"/>
                <w:szCs w:val="18"/>
              </w:rPr>
              <w:t xml:space="preserve">  </w:t>
            </w:r>
          </w:p>
          <w:p w14:paraId="10044301" w14:textId="3CA07B5B" w:rsidR="00C031AC" w:rsidRDefault="00DE2269" w:rsidP="00446292">
            <w:pPr>
              <w:numPr>
                <w:ilvl w:val="0"/>
                <w:numId w:val="11"/>
              </w:numPr>
              <w:rPr>
                <w:rFonts w:ascii="Comic Sans MS" w:hAnsi="Comic Sans MS"/>
                <w:sz w:val="18"/>
                <w:szCs w:val="18"/>
              </w:rPr>
            </w:pPr>
            <w:r>
              <w:rPr>
                <w:rFonts w:ascii="Comic Sans MS" w:hAnsi="Comic Sans MS"/>
                <w:sz w:val="18"/>
                <w:szCs w:val="18"/>
              </w:rPr>
              <w:t xml:space="preserve">This </w:t>
            </w:r>
            <w:r w:rsidR="00771ECF">
              <w:rPr>
                <w:rFonts w:ascii="Comic Sans MS" w:hAnsi="Comic Sans MS"/>
                <w:sz w:val="18"/>
                <w:szCs w:val="18"/>
              </w:rPr>
              <w:t xml:space="preserve">unit </w:t>
            </w:r>
            <w:r w:rsidR="008E314F">
              <w:rPr>
                <w:rFonts w:ascii="Comic Sans MS" w:hAnsi="Comic Sans MS"/>
                <w:sz w:val="18"/>
                <w:szCs w:val="18"/>
              </w:rPr>
              <w:t xml:space="preserve">really brings your kindergartners’ writing to life!  You will invite your students to consider ways to make the world a better place, something they can get very passionate about!  Caution: This is NOT the “I want . . . “ unit.  You can shift them into this big thinking by modeling “problems” with the classroom or school that you as a class could work to change (see Session 1).  </w:t>
            </w:r>
          </w:p>
          <w:p w14:paraId="4B6B1E74" w14:textId="677C1324" w:rsidR="008E314F" w:rsidRPr="00BA5828" w:rsidRDefault="008E314F" w:rsidP="00446292">
            <w:pPr>
              <w:numPr>
                <w:ilvl w:val="0"/>
                <w:numId w:val="11"/>
              </w:numPr>
              <w:rPr>
                <w:rFonts w:ascii="Comic Sans MS" w:hAnsi="Comic Sans MS"/>
                <w:sz w:val="18"/>
                <w:szCs w:val="18"/>
              </w:rPr>
            </w:pPr>
            <w:r>
              <w:rPr>
                <w:rFonts w:ascii="Comic Sans MS" w:hAnsi="Comic Sans MS"/>
                <w:sz w:val="18"/>
                <w:szCs w:val="18"/>
              </w:rPr>
              <w:t>The first bend of the unit offers students a menu of possibilities for writing to address an issue.  You will not assign a particular type of persuasive writing.  Rather, you will invite students to decide what kind of writing they want to use to try to make a change.</w:t>
            </w:r>
          </w:p>
          <w:p w14:paraId="63197243" w14:textId="7428F21E" w:rsidR="00813261" w:rsidRDefault="008E314F" w:rsidP="00813261">
            <w:pPr>
              <w:numPr>
                <w:ilvl w:val="0"/>
                <w:numId w:val="11"/>
              </w:numPr>
              <w:rPr>
                <w:rFonts w:ascii="Comic Sans MS" w:hAnsi="Comic Sans MS"/>
                <w:sz w:val="18"/>
                <w:szCs w:val="18"/>
              </w:rPr>
            </w:pPr>
            <w:r>
              <w:rPr>
                <w:rFonts w:ascii="Comic Sans MS" w:hAnsi="Comic Sans MS"/>
                <w:sz w:val="18"/>
                <w:szCs w:val="18"/>
              </w:rPr>
              <w:t xml:space="preserve">Throughout this unit, you will use shared </w:t>
            </w:r>
            <w:r w:rsidR="00A44993">
              <w:rPr>
                <w:rFonts w:ascii="Comic Sans MS" w:hAnsi="Comic Sans MS"/>
                <w:sz w:val="18"/>
                <w:szCs w:val="18"/>
              </w:rPr>
              <w:t xml:space="preserve">writing </w:t>
            </w:r>
            <w:r>
              <w:rPr>
                <w:rFonts w:ascii="Comic Sans MS" w:hAnsi="Comic Sans MS"/>
                <w:sz w:val="18"/>
                <w:szCs w:val="18"/>
              </w:rPr>
              <w:t>(teacher pens the class’s message) and interactive writing (teacher and students co-construct a class message) to demonst</w:t>
            </w:r>
            <w:r w:rsidR="00A44993">
              <w:rPr>
                <w:rFonts w:ascii="Comic Sans MS" w:hAnsi="Comic Sans MS"/>
                <w:sz w:val="18"/>
                <w:szCs w:val="18"/>
              </w:rPr>
              <w:t>rate the techniques that author</w:t>
            </w:r>
            <w:r>
              <w:rPr>
                <w:rFonts w:ascii="Comic Sans MS" w:hAnsi="Comic Sans MS"/>
                <w:sz w:val="18"/>
                <w:szCs w:val="18"/>
              </w:rPr>
              <w:t>s use to create a persuasive piece of writing, no matter the type of persuasive writing.</w:t>
            </w:r>
            <w:r w:rsidR="00A44993">
              <w:rPr>
                <w:rFonts w:ascii="Comic Sans MS" w:hAnsi="Comic Sans MS"/>
                <w:sz w:val="18"/>
                <w:szCs w:val="18"/>
              </w:rPr>
              <w:t xml:space="preserve">  This is foundational to the argument writing they will do as they move through subsequent grades.</w:t>
            </w:r>
          </w:p>
          <w:p w14:paraId="1C32C234" w14:textId="1BE8AB2D" w:rsidR="00F61AFF" w:rsidRDefault="008E314F" w:rsidP="00813261">
            <w:pPr>
              <w:numPr>
                <w:ilvl w:val="0"/>
                <w:numId w:val="11"/>
              </w:numPr>
              <w:rPr>
                <w:rFonts w:ascii="Comic Sans MS" w:hAnsi="Comic Sans MS"/>
                <w:sz w:val="18"/>
                <w:szCs w:val="18"/>
              </w:rPr>
            </w:pPr>
            <w:r>
              <w:rPr>
                <w:rFonts w:ascii="Comic Sans MS" w:hAnsi="Comic Sans MS"/>
                <w:sz w:val="18"/>
                <w:szCs w:val="18"/>
              </w:rPr>
              <w:t>In the second bend of this unit, you will invite students to write many persuasive letters.  Volume is important</w:t>
            </w:r>
            <w:r w:rsidR="00D128BD">
              <w:rPr>
                <w:rFonts w:ascii="Comic Sans MS" w:hAnsi="Comic Sans MS"/>
                <w:sz w:val="18"/>
                <w:szCs w:val="18"/>
              </w:rPr>
              <w:t xml:space="preserve"> to emphasize the techniques writers can use to be persuasive, across any persuasive piece they write.  You will teach them strategies to make their writing more and more convincing.</w:t>
            </w:r>
          </w:p>
          <w:p w14:paraId="686CA8D1" w14:textId="1D312F50" w:rsidR="00813261" w:rsidRDefault="00D128BD" w:rsidP="00813261">
            <w:pPr>
              <w:numPr>
                <w:ilvl w:val="0"/>
                <w:numId w:val="11"/>
              </w:numPr>
              <w:rPr>
                <w:rFonts w:ascii="Comic Sans MS" w:hAnsi="Comic Sans MS"/>
                <w:sz w:val="18"/>
                <w:szCs w:val="18"/>
              </w:rPr>
            </w:pPr>
            <w:r>
              <w:rPr>
                <w:rFonts w:ascii="Comic Sans MS" w:hAnsi="Comic Sans MS"/>
                <w:sz w:val="18"/>
                <w:szCs w:val="18"/>
              </w:rPr>
              <w:t>In the final bend of the unit, the whole class will engage in a common pursuit to make a change, with students writing in a variety of genres to support this issue.</w:t>
            </w:r>
          </w:p>
          <w:p w14:paraId="5D383D68" w14:textId="714BDD1D" w:rsidR="006B4C4D" w:rsidRPr="00BE271F" w:rsidRDefault="00BC69F6" w:rsidP="00EE5CE6">
            <w:pPr>
              <w:numPr>
                <w:ilvl w:val="0"/>
                <w:numId w:val="11"/>
              </w:numPr>
              <w:rPr>
                <w:rFonts w:ascii="Comic Sans MS" w:hAnsi="Comic Sans MS"/>
                <w:sz w:val="18"/>
                <w:szCs w:val="18"/>
              </w:rPr>
            </w:pPr>
            <w:r>
              <w:rPr>
                <w:rStyle w:val="Hyperlink"/>
                <w:rFonts w:ascii="Comic Sans MS" w:hAnsi="Comic Sans MS"/>
                <w:color w:val="auto"/>
                <w:sz w:val="18"/>
                <w:szCs w:val="18"/>
                <w:u w:val="none"/>
              </w:rPr>
              <w:t xml:space="preserve">See the online resources at </w:t>
            </w:r>
            <w:hyperlink r:id="rId9" w:history="1">
              <w:r w:rsidR="00EE5CE6">
                <w:rPr>
                  <w:rStyle w:val="Hyperlink"/>
                  <w:rFonts w:ascii="Comic Sans MS" w:hAnsi="Comic Sans MS"/>
                  <w:sz w:val="18"/>
                  <w:szCs w:val="18"/>
                </w:rPr>
                <w:t>Heinemann</w:t>
              </w:r>
            </w:hyperlink>
            <w:r>
              <w:rPr>
                <w:rStyle w:val="Hyperlink"/>
                <w:rFonts w:ascii="Comic Sans MS" w:hAnsi="Comic Sans MS"/>
                <w:color w:val="auto"/>
                <w:sz w:val="18"/>
                <w:szCs w:val="18"/>
                <w:u w:val="none"/>
              </w:rPr>
              <w:t xml:space="preserve"> for NEW anchor charts to support this unit, samples of student writing</w:t>
            </w:r>
            <w:r w:rsidR="00BE271F">
              <w:rPr>
                <w:rStyle w:val="Hyperlink"/>
                <w:rFonts w:ascii="Comic Sans MS" w:hAnsi="Comic Sans MS"/>
                <w:color w:val="auto"/>
                <w:sz w:val="18"/>
                <w:szCs w:val="18"/>
                <w:u w:val="none"/>
              </w:rPr>
              <w:t xml:space="preserve"> and teacher demonstration texts</w:t>
            </w:r>
            <w:r>
              <w:rPr>
                <w:rStyle w:val="Hyperlink"/>
                <w:rFonts w:ascii="Comic Sans MS" w:hAnsi="Comic Sans MS"/>
                <w:color w:val="auto"/>
                <w:sz w:val="18"/>
                <w:szCs w:val="18"/>
                <w:u w:val="none"/>
              </w:rPr>
              <w:t>, student rubri</w:t>
            </w:r>
            <w:r w:rsidR="00BE271F">
              <w:rPr>
                <w:rStyle w:val="Hyperlink"/>
                <w:rFonts w:ascii="Comic Sans MS" w:hAnsi="Comic Sans MS"/>
                <w:color w:val="auto"/>
                <w:sz w:val="18"/>
                <w:szCs w:val="18"/>
                <w:u w:val="none"/>
              </w:rPr>
              <w:t>cs and checklists, and paper choices.</w:t>
            </w:r>
          </w:p>
        </w:tc>
      </w:tr>
      <w:tr w:rsidR="001B0B6D" w:rsidRPr="0082248D" w14:paraId="2EA4BB9C" w14:textId="77777777" w:rsidTr="001B0B6D">
        <w:tc>
          <w:tcPr>
            <w:tcW w:w="1705" w:type="dxa"/>
            <w:shd w:val="clear" w:color="auto" w:fill="auto"/>
          </w:tcPr>
          <w:p w14:paraId="2D6E03A4" w14:textId="19581C9E" w:rsidR="00A14EB3" w:rsidRPr="001A0909" w:rsidRDefault="00A14EB3">
            <w:pPr>
              <w:rPr>
                <w:rFonts w:ascii="Comic Sans MS" w:hAnsi="Comic Sans MS"/>
                <w:b/>
                <w:sz w:val="22"/>
                <w:szCs w:val="22"/>
              </w:rPr>
            </w:pPr>
            <w:r w:rsidRPr="001A0909">
              <w:rPr>
                <w:rFonts w:ascii="Comic Sans MS" w:hAnsi="Comic Sans MS"/>
                <w:b/>
                <w:sz w:val="22"/>
                <w:szCs w:val="22"/>
              </w:rPr>
              <w:t>Materials and Resources</w:t>
            </w:r>
          </w:p>
        </w:tc>
        <w:tc>
          <w:tcPr>
            <w:tcW w:w="8015" w:type="dxa"/>
            <w:shd w:val="clear" w:color="auto" w:fill="auto"/>
          </w:tcPr>
          <w:p w14:paraId="1AEA7029" w14:textId="43198823" w:rsidR="00F81EA4" w:rsidRDefault="0069409E" w:rsidP="00F81EA4">
            <w:pPr>
              <w:pStyle w:val="ListParagraph"/>
              <w:numPr>
                <w:ilvl w:val="0"/>
                <w:numId w:val="17"/>
              </w:numPr>
              <w:rPr>
                <w:rFonts w:ascii="Comic Sans MS" w:hAnsi="Comic Sans MS"/>
                <w:sz w:val="18"/>
                <w:szCs w:val="18"/>
              </w:rPr>
            </w:pPr>
            <w:r w:rsidRPr="00F81EA4">
              <w:rPr>
                <w:rFonts w:ascii="Comic Sans MS" w:hAnsi="Comic Sans MS"/>
                <w:sz w:val="18"/>
                <w:szCs w:val="18"/>
              </w:rPr>
              <w:t>Provide paper choices</w:t>
            </w:r>
            <w:r w:rsidR="00F0333A">
              <w:rPr>
                <w:rFonts w:ascii="Comic Sans MS" w:hAnsi="Comic Sans MS"/>
                <w:sz w:val="18"/>
                <w:szCs w:val="18"/>
              </w:rPr>
              <w:t xml:space="preserve"> (available on</w:t>
            </w:r>
            <w:r w:rsidR="00BE271F">
              <w:rPr>
                <w:rFonts w:ascii="Comic Sans MS" w:hAnsi="Comic Sans MS"/>
                <w:sz w:val="18"/>
                <w:szCs w:val="18"/>
              </w:rPr>
              <w:t xml:space="preserve">line at </w:t>
            </w:r>
            <w:hyperlink r:id="rId10" w:history="1">
              <w:r w:rsidR="00BE271F" w:rsidRPr="00BE271F">
                <w:rPr>
                  <w:rStyle w:val="Hyperlink"/>
                  <w:rFonts w:ascii="Comic Sans MS" w:hAnsi="Comic Sans MS"/>
                  <w:sz w:val="18"/>
                  <w:szCs w:val="18"/>
                </w:rPr>
                <w:t>Heinemann</w:t>
              </w:r>
            </w:hyperlink>
            <w:r w:rsidR="00F0333A">
              <w:rPr>
                <w:rFonts w:ascii="Comic Sans MS" w:hAnsi="Comic Sans MS"/>
                <w:sz w:val="18"/>
                <w:szCs w:val="18"/>
              </w:rPr>
              <w:t>)</w:t>
            </w:r>
            <w:r w:rsidRPr="00F81EA4">
              <w:rPr>
                <w:rFonts w:ascii="Comic Sans MS" w:hAnsi="Comic Sans MS"/>
                <w:sz w:val="18"/>
                <w:szCs w:val="18"/>
              </w:rPr>
              <w:t xml:space="preserve"> that </w:t>
            </w:r>
            <w:r w:rsidR="00F81EA4">
              <w:rPr>
                <w:rFonts w:ascii="Comic Sans MS" w:hAnsi="Comic Sans MS"/>
                <w:sz w:val="18"/>
                <w:szCs w:val="18"/>
              </w:rPr>
              <w:t>offer a variety of templates for persuasive writing; for example:</w:t>
            </w:r>
          </w:p>
          <w:p w14:paraId="02B821EE" w14:textId="77777777" w:rsidR="0069409E" w:rsidRDefault="00F81EA4" w:rsidP="00F81EA4">
            <w:pPr>
              <w:pStyle w:val="ListParagraph"/>
              <w:numPr>
                <w:ilvl w:val="1"/>
                <w:numId w:val="17"/>
              </w:numPr>
              <w:rPr>
                <w:rFonts w:ascii="Comic Sans MS" w:hAnsi="Comic Sans MS"/>
                <w:sz w:val="18"/>
                <w:szCs w:val="18"/>
              </w:rPr>
            </w:pPr>
            <w:r w:rsidRPr="00F81EA4">
              <w:rPr>
                <w:rFonts w:ascii="Comic Sans MS" w:hAnsi="Comic Sans MS"/>
                <w:sz w:val="18"/>
                <w:szCs w:val="18"/>
              </w:rPr>
              <w:t>letter-writing paper, envelopes and postage labels</w:t>
            </w:r>
          </w:p>
          <w:p w14:paraId="6CFA6A85" w14:textId="77777777" w:rsidR="00F81EA4" w:rsidRDefault="00F81EA4" w:rsidP="00F81EA4">
            <w:pPr>
              <w:pStyle w:val="ListParagraph"/>
              <w:numPr>
                <w:ilvl w:val="1"/>
                <w:numId w:val="17"/>
              </w:numPr>
              <w:rPr>
                <w:rFonts w:ascii="Comic Sans MS" w:hAnsi="Comic Sans MS"/>
                <w:sz w:val="18"/>
                <w:szCs w:val="18"/>
              </w:rPr>
            </w:pPr>
            <w:r>
              <w:rPr>
                <w:rFonts w:ascii="Comic Sans MS" w:hAnsi="Comic Sans MS"/>
                <w:sz w:val="18"/>
                <w:szCs w:val="18"/>
              </w:rPr>
              <w:t>blank poster paper for signs</w:t>
            </w:r>
          </w:p>
          <w:p w14:paraId="5DCF43A5" w14:textId="77777777" w:rsidR="00F81EA4" w:rsidRDefault="00F81EA4" w:rsidP="00F81EA4">
            <w:pPr>
              <w:pStyle w:val="ListParagraph"/>
              <w:numPr>
                <w:ilvl w:val="1"/>
                <w:numId w:val="17"/>
              </w:numPr>
              <w:rPr>
                <w:rFonts w:ascii="Comic Sans MS" w:hAnsi="Comic Sans MS"/>
                <w:sz w:val="18"/>
                <w:szCs w:val="18"/>
              </w:rPr>
            </w:pPr>
            <w:r>
              <w:rPr>
                <w:rFonts w:ascii="Comic Sans MS" w:hAnsi="Comic Sans MS"/>
                <w:sz w:val="18"/>
                <w:szCs w:val="18"/>
              </w:rPr>
              <w:t>poetry paper for songs or chants</w:t>
            </w:r>
          </w:p>
          <w:p w14:paraId="7A951C2C" w14:textId="77777777" w:rsidR="00F81EA4" w:rsidRDefault="00F81EA4" w:rsidP="00F81EA4">
            <w:pPr>
              <w:pStyle w:val="ListParagraph"/>
              <w:numPr>
                <w:ilvl w:val="1"/>
                <w:numId w:val="17"/>
              </w:numPr>
              <w:rPr>
                <w:rFonts w:ascii="Comic Sans MS" w:hAnsi="Comic Sans MS"/>
                <w:sz w:val="18"/>
                <w:szCs w:val="18"/>
              </w:rPr>
            </w:pPr>
            <w:r>
              <w:rPr>
                <w:rFonts w:ascii="Comic Sans MS" w:hAnsi="Comic Sans MS"/>
                <w:sz w:val="18"/>
                <w:szCs w:val="18"/>
              </w:rPr>
              <w:t>petition paper with a space for signatures</w:t>
            </w:r>
          </w:p>
          <w:p w14:paraId="57A9C939" w14:textId="77777777" w:rsidR="00F0333A" w:rsidRDefault="00F0333A" w:rsidP="00F0333A">
            <w:pPr>
              <w:pStyle w:val="ListParagraph"/>
              <w:numPr>
                <w:ilvl w:val="0"/>
                <w:numId w:val="17"/>
              </w:numPr>
              <w:rPr>
                <w:rFonts w:ascii="Comic Sans MS" w:hAnsi="Comic Sans MS"/>
                <w:sz w:val="18"/>
                <w:szCs w:val="18"/>
              </w:rPr>
            </w:pPr>
            <w:r>
              <w:rPr>
                <w:rFonts w:ascii="Comic Sans MS" w:hAnsi="Comic Sans MS"/>
                <w:sz w:val="18"/>
                <w:szCs w:val="18"/>
              </w:rPr>
              <w:t>Offer options for different needs, such as a space for drawing to support planning and elaboration and stapled booklets with additional lines for writing to encourage increased volume.</w:t>
            </w:r>
          </w:p>
          <w:p w14:paraId="4EA86E85" w14:textId="6ADCB2E8" w:rsidR="00BE271F" w:rsidRPr="00F81EA4" w:rsidRDefault="00BE271F" w:rsidP="00F0333A">
            <w:pPr>
              <w:pStyle w:val="ListParagraph"/>
              <w:numPr>
                <w:ilvl w:val="0"/>
                <w:numId w:val="17"/>
              </w:numPr>
              <w:rPr>
                <w:rFonts w:ascii="Comic Sans MS" w:hAnsi="Comic Sans MS"/>
                <w:sz w:val="18"/>
                <w:szCs w:val="18"/>
              </w:rPr>
            </w:pPr>
            <w:r>
              <w:rPr>
                <w:rFonts w:ascii="Comic Sans MS" w:hAnsi="Comic Sans MS"/>
                <w:sz w:val="18"/>
                <w:szCs w:val="18"/>
              </w:rPr>
              <w:t>Anc</w:t>
            </w:r>
            <w:r w:rsidR="00424A80">
              <w:rPr>
                <w:rFonts w:ascii="Comic Sans MS" w:hAnsi="Comic Sans MS"/>
                <w:sz w:val="18"/>
                <w:szCs w:val="18"/>
              </w:rPr>
              <w:t xml:space="preserve">hor charts, rubrics, checklists, paper choices, </w:t>
            </w:r>
            <w:r>
              <w:rPr>
                <w:rFonts w:ascii="Comic Sans MS" w:hAnsi="Comic Sans MS"/>
                <w:sz w:val="18"/>
                <w:szCs w:val="18"/>
              </w:rPr>
              <w:t xml:space="preserve">and other useful resources specific to this unit found at </w:t>
            </w:r>
            <w:hyperlink r:id="rId11" w:history="1">
              <w:r w:rsidRPr="00BE271F">
                <w:rPr>
                  <w:rStyle w:val="Hyperlink"/>
                  <w:rFonts w:ascii="Comic Sans MS" w:hAnsi="Comic Sans MS"/>
                  <w:sz w:val="18"/>
                  <w:szCs w:val="18"/>
                </w:rPr>
                <w:t>Heinemann</w:t>
              </w:r>
            </w:hyperlink>
            <w:r>
              <w:rPr>
                <w:rFonts w:ascii="Comic Sans MS" w:hAnsi="Comic Sans MS"/>
                <w:sz w:val="18"/>
                <w:szCs w:val="18"/>
              </w:rPr>
              <w:t>.</w:t>
            </w:r>
          </w:p>
        </w:tc>
      </w:tr>
      <w:tr w:rsidR="001B0B6D" w:rsidRPr="0082248D" w14:paraId="52D9B95D" w14:textId="77777777" w:rsidTr="001B0B6D">
        <w:tc>
          <w:tcPr>
            <w:tcW w:w="1705" w:type="dxa"/>
            <w:shd w:val="clear" w:color="auto" w:fill="auto"/>
          </w:tcPr>
          <w:p w14:paraId="00BE1A9B" w14:textId="736304A1" w:rsidR="00A14EB3" w:rsidRPr="001A0909" w:rsidRDefault="00A14EB3">
            <w:pPr>
              <w:rPr>
                <w:rFonts w:ascii="Comic Sans MS" w:hAnsi="Comic Sans MS"/>
                <w:b/>
                <w:sz w:val="22"/>
                <w:szCs w:val="22"/>
              </w:rPr>
            </w:pPr>
            <w:r w:rsidRPr="001A0909">
              <w:rPr>
                <w:rFonts w:ascii="Comic Sans MS" w:hAnsi="Comic Sans MS"/>
                <w:b/>
                <w:sz w:val="22"/>
                <w:szCs w:val="22"/>
              </w:rPr>
              <w:t>Assessment</w:t>
            </w:r>
          </w:p>
        </w:tc>
        <w:tc>
          <w:tcPr>
            <w:tcW w:w="8015" w:type="dxa"/>
            <w:shd w:val="clear" w:color="auto" w:fill="auto"/>
          </w:tcPr>
          <w:p w14:paraId="6CE8FE18" w14:textId="3F411E82" w:rsidR="00FE22BD" w:rsidRDefault="00B16653" w:rsidP="00846EF0">
            <w:pPr>
              <w:numPr>
                <w:ilvl w:val="0"/>
                <w:numId w:val="9"/>
              </w:numPr>
              <w:rPr>
                <w:rFonts w:ascii="Comic Sans MS" w:hAnsi="Comic Sans MS"/>
                <w:sz w:val="18"/>
                <w:szCs w:val="18"/>
              </w:rPr>
            </w:pPr>
            <w:hyperlink r:id="rId12" w:history="1">
              <w:r w:rsidR="00FE22BD" w:rsidRPr="00FE22BD">
                <w:rPr>
                  <w:rStyle w:val="Hyperlink"/>
                  <w:rFonts w:ascii="Comic Sans MS" w:hAnsi="Comic Sans MS"/>
                  <w:sz w:val="18"/>
                  <w:szCs w:val="18"/>
                </w:rPr>
                <w:t>On-Demand Opinion Writing Pre/Post Assessment</w:t>
              </w:r>
            </w:hyperlink>
          </w:p>
          <w:p w14:paraId="2712A233" w14:textId="34967D5B" w:rsidR="00846EF0" w:rsidRDefault="0069409E" w:rsidP="00846EF0">
            <w:pPr>
              <w:numPr>
                <w:ilvl w:val="0"/>
                <w:numId w:val="9"/>
              </w:numPr>
              <w:rPr>
                <w:rFonts w:ascii="Comic Sans MS" w:hAnsi="Comic Sans MS"/>
                <w:sz w:val="18"/>
                <w:szCs w:val="18"/>
              </w:rPr>
            </w:pPr>
            <w:r>
              <w:rPr>
                <w:rFonts w:ascii="Comic Sans MS" w:hAnsi="Comic Sans MS"/>
                <w:sz w:val="18"/>
                <w:szCs w:val="18"/>
              </w:rPr>
              <w:t>Conference notes</w:t>
            </w:r>
          </w:p>
          <w:p w14:paraId="34F91650" w14:textId="6D0135E7" w:rsidR="00AC1F2A" w:rsidRPr="00846EF0" w:rsidRDefault="0069409E" w:rsidP="00846EF0">
            <w:pPr>
              <w:numPr>
                <w:ilvl w:val="0"/>
                <w:numId w:val="9"/>
              </w:numPr>
              <w:rPr>
                <w:rFonts w:ascii="Comic Sans MS" w:hAnsi="Comic Sans MS"/>
                <w:sz w:val="18"/>
                <w:szCs w:val="18"/>
              </w:rPr>
            </w:pPr>
            <w:r>
              <w:rPr>
                <w:rFonts w:ascii="Comic Sans MS" w:hAnsi="Comic Sans MS"/>
                <w:sz w:val="18"/>
                <w:szCs w:val="18"/>
              </w:rPr>
              <w:t>Ongoing writing produced in daily writing workshops</w:t>
            </w:r>
          </w:p>
        </w:tc>
      </w:tr>
      <w:tr w:rsidR="001B0B6D" w:rsidRPr="0082248D" w14:paraId="431E15BA" w14:textId="77777777" w:rsidTr="001B0B6D">
        <w:tc>
          <w:tcPr>
            <w:tcW w:w="1705" w:type="dxa"/>
            <w:shd w:val="clear" w:color="auto" w:fill="auto"/>
          </w:tcPr>
          <w:p w14:paraId="05A9131F" w14:textId="10E55885" w:rsidR="00A14EB3" w:rsidRPr="001A0909" w:rsidRDefault="00A14EB3">
            <w:pPr>
              <w:rPr>
                <w:rFonts w:ascii="Comic Sans MS" w:hAnsi="Comic Sans MS"/>
                <w:b/>
                <w:sz w:val="22"/>
                <w:szCs w:val="22"/>
              </w:rPr>
            </w:pPr>
            <w:r w:rsidRPr="001A0909">
              <w:rPr>
                <w:rFonts w:ascii="Comic Sans MS" w:hAnsi="Comic Sans MS"/>
                <w:b/>
                <w:sz w:val="22"/>
                <w:szCs w:val="22"/>
              </w:rPr>
              <w:t>Celebrations</w:t>
            </w:r>
          </w:p>
        </w:tc>
        <w:tc>
          <w:tcPr>
            <w:tcW w:w="8015" w:type="dxa"/>
            <w:shd w:val="clear" w:color="auto" w:fill="auto"/>
          </w:tcPr>
          <w:p w14:paraId="383ACED8" w14:textId="5BDB3171" w:rsidR="00A758D0" w:rsidRPr="009B2257" w:rsidRDefault="00D128BD" w:rsidP="00EE5CE6">
            <w:pPr>
              <w:pStyle w:val="ListParagraph"/>
              <w:numPr>
                <w:ilvl w:val="0"/>
                <w:numId w:val="16"/>
              </w:numPr>
              <w:rPr>
                <w:rFonts w:ascii="Comic Sans MS" w:hAnsi="Comic Sans MS"/>
                <w:sz w:val="18"/>
                <w:szCs w:val="18"/>
              </w:rPr>
            </w:pPr>
            <w:r>
              <w:rPr>
                <w:rFonts w:ascii="Comic Sans MS" w:hAnsi="Comic Sans MS"/>
                <w:sz w:val="18"/>
                <w:szCs w:val="18"/>
              </w:rPr>
              <w:t>Provide students with an opportunity to share their opinions (through their projects) and convinc</w:t>
            </w:r>
            <w:r w:rsidR="00EE5CE6">
              <w:rPr>
                <w:rFonts w:ascii="Comic Sans MS" w:hAnsi="Comic Sans MS"/>
                <w:sz w:val="18"/>
                <w:szCs w:val="18"/>
              </w:rPr>
              <w:t>e</w:t>
            </w:r>
            <w:r>
              <w:rPr>
                <w:rFonts w:ascii="Comic Sans MS" w:hAnsi="Comic Sans MS"/>
                <w:sz w:val="18"/>
                <w:szCs w:val="18"/>
              </w:rPr>
              <w:t xml:space="preserve"> others to make a change by allowing students to stand on boxes or on a stage in the auditorium to share their projects with others.</w:t>
            </w:r>
            <w:r w:rsidR="00DF2E1A">
              <w:rPr>
                <w:rFonts w:ascii="Comic Sans MS" w:hAnsi="Comic Sans MS"/>
                <w:sz w:val="18"/>
                <w:szCs w:val="18"/>
              </w:rPr>
              <w:t xml:space="preserve"> </w:t>
            </w:r>
            <w:r w:rsidR="00BE271F">
              <w:rPr>
                <w:rFonts w:ascii="Comic Sans MS" w:hAnsi="Comic Sans MS"/>
                <w:sz w:val="18"/>
                <w:szCs w:val="18"/>
              </w:rPr>
              <w:t xml:space="preserve">Visitors could be invited to a “museum walk” to see the students’ posters and hear their speeches. </w:t>
            </w:r>
            <w:r w:rsidR="00DF2E1A">
              <w:rPr>
                <w:rFonts w:ascii="Comic Sans MS" w:hAnsi="Comic Sans MS"/>
                <w:sz w:val="18"/>
                <w:szCs w:val="18"/>
              </w:rPr>
              <w:t>See page</w:t>
            </w:r>
            <w:r w:rsidR="00BE271F">
              <w:rPr>
                <w:rFonts w:ascii="Comic Sans MS" w:hAnsi="Comic Sans MS"/>
                <w:sz w:val="18"/>
                <w:szCs w:val="18"/>
              </w:rPr>
              <w:t>s 143 and 144 for ideas to support a celebration.</w:t>
            </w:r>
          </w:p>
        </w:tc>
      </w:tr>
    </w:tbl>
    <w:p w14:paraId="74345191" w14:textId="39C78D3F" w:rsidR="00A14EB3" w:rsidRPr="00A14EB3" w:rsidRDefault="00A14EB3" w:rsidP="0018271C">
      <w:pPr>
        <w:tabs>
          <w:tab w:val="left" w:pos="1665"/>
        </w:tabs>
        <w:rPr>
          <w:rFonts w:ascii="Comic Sans MS" w:hAnsi="Comic Sans MS"/>
        </w:rPr>
      </w:pPr>
    </w:p>
    <w:sectPr w:rsidR="00A14EB3" w:rsidRPr="00A14EB3" w:rsidSect="0018271C">
      <w:headerReference w:type="default" r:id="rId13"/>
      <w:footerReference w:type="default" r:id="rId14"/>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C1B8" w14:textId="77777777" w:rsidR="00B16653" w:rsidRDefault="00B16653">
      <w:r>
        <w:separator/>
      </w:r>
    </w:p>
  </w:endnote>
  <w:endnote w:type="continuationSeparator" w:id="0">
    <w:p w14:paraId="5AEE590A" w14:textId="77777777" w:rsidR="00B16653" w:rsidRDefault="00B1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4917" w14:textId="0C6539E5" w:rsidR="008E314F" w:rsidRPr="00A40A22" w:rsidRDefault="008E314F">
    <w:pPr>
      <w:pStyle w:val="Footer"/>
      <w:rPr>
        <w:i/>
        <w:sz w:val="20"/>
        <w:szCs w:val="20"/>
      </w:rPr>
    </w:pPr>
    <w:r>
      <w:rPr>
        <w:i/>
        <w:sz w:val="20"/>
        <w:szCs w:val="20"/>
      </w:rPr>
      <w:tab/>
    </w:r>
  </w:p>
  <w:p w14:paraId="1A47B0FA" w14:textId="77777777" w:rsidR="008E314F" w:rsidRPr="0018271C" w:rsidRDefault="008E314F">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4D8C" w14:textId="77777777" w:rsidR="00B16653" w:rsidRDefault="00B16653">
      <w:r>
        <w:separator/>
      </w:r>
    </w:p>
  </w:footnote>
  <w:footnote w:type="continuationSeparator" w:id="0">
    <w:p w14:paraId="66F02D46" w14:textId="77777777" w:rsidR="00B16653" w:rsidRDefault="00B16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FE65" w14:textId="1B0C657E" w:rsidR="008E314F" w:rsidRPr="00ED7EC5" w:rsidRDefault="008E314F">
    <w:pPr>
      <w:pStyle w:val="Header"/>
      <w:rPr>
        <w:i/>
        <w:sz w:val="18"/>
        <w:szCs w:val="18"/>
      </w:rPr>
    </w:pPr>
    <w:r>
      <w:rPr>
        <w:i/>
        <w:sz w:val="18"/>
        <w:szCs w:val="18"/>
      </w:rPr>
      <w:t>U</w:t>
    </w:r>
    <w:r w:rsidR="000817A8">
      <w:rPr>
        <w:i/>
        <w:sz w:val="18"/>
        <w:szCs w:val="18"/>
      </w:rPr>
      <w:t>pdated January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66D0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507A2"/>
    <w:multiLevelType w:val="hybridMultilevel"/>
    <w:tmpl w:val="4072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B3DEF"/>
    <w:multiLevelType w:val="hybridMultilevel"/>
    <w:tmpl w:val="5F9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302D4E"/>
    <w:multiLevelType w:val="hybridMultilevel"/>
    <w:tmpl w:val="4EC6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254A0"/>
    <w:multiLevelType w:val="hybridMultilevel"/>
    <w:tmpl w:val="78E8E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FF0E26"/>
    <w:multiLevelType w:val="hybridMultilevel"/>
    <w:tmpl w:val="AA1E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4"/>
  </w:num>
  <w:num w:numId="5">
    <w:abstractNumId w:val="11"/>
  </w:num>
  <w:num w:numId="6">
    <w:abstractNumId w:val="2"/>
  </w:num>
  <w:num w:numId="7">
    <w:abstractNumId w:val="6"/>
  </w:num>
  <w:num w:numId="8">
    <w:abstractNumId w:val="7"/>
  </w:num>
  <w:num w:numId="9">
    <w:abstractNumId w:val="12"/>
  </w:num>
  <w:num w:numId="10">
    <w:abstractNumId w:val="3"/>
  </w:num>
  <w:num w:numId="11">
    <w:abstractNumId w:val="1"/>
  </w:num>
  <w:num w:numId="12">
    <w:abstractNumId w:val="9"/>
  </w:num>
  <w:num w:numId="13">
    <w:abstractNumId w:val="16"/>
  </w:num>
  <w:num w:numId="14">
    <w:abstractNumId w:val="10"/>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15CC2"/>
    <w:rsid w:val="000617D3"/>
    <w:rsid w:val="00071D27"/>
    <w:rsid w:val="000817A8"/>
    <w:rsid w:val="000D1E02"/>
    <w:rsid w:val="000E4CE6"/>
    <w:rsid w:val="000F62B7"/>
    <w:rsid w:val="000F7295"/>
    <w:rsid w:val="001514B1"/>
    <w:rsid w:val="0018271C"/>
    <w:rsid w:val="001A07E9"/>
    <w:rsid w:val="001A0909"/>
    <w:rsid w:val="001B0B6D"/>
    <w:rsid w:val="001B72F6"/>
    <w:rsid w:val="00241273"/>
    <w:rsid w:val="00285E3D"/>
    <w:rsid w:val="002A36DB"/>
    <w:rsid w:val="002A7230"/>
    <w:rsid w:val="002D239E"/>
    <w:rsid w:val="00300B41"/>
    <w:rsid w:val="003617F7"/>
    <w:rsid w:val="00395CB2"/>
    <w:rsid w:val="003D0744"/>
    <w:rsid w:val="003F73BE"/>
    <w:rsid w:val="004033CA"/>
    <w:rsid w:val="00403F68"/>
    <w:rsid w:val="00424A80"/>
    <w:rsid w:val="00427524"/>
    <w:rsid w:val="00446292"/>
    <w:rsid w:val="00446F73"/>
    <w:rsid w:val="00476604"/>
    <w:rsid w:val="004949A8"/>
    <w:rsid w:val="004F74B9"/>
    <w:rsid w:val="00516633"/>
    <w:rsid w:val="00552FDD"/>
    <w:rsid w:val="00564B32"/>
    <w:rsid w:val="005662C2"/>
    <w:rsid w:val="00584F53"/>
    <w:rsid w:val="005A587F"/>
    <w:rsid w:val="005E64C7"/>
    <w:rsid w:val="00600153"/>
    <w:rsid w:val="00623604"/>
    <w:rsid w:val="0063309B"/>
    <w:rsid w:val="0066622E"/>
    <w:rsid w:val="0066764C"/>
    <w:rsid w:val="006771BA"/>
    <w:rsid w:val="0069409E"/>
    <w:rsid w:val="006B4C4D"/>
    <w:rsid w:val="006C3619"/>
    <w:rsid w:val="006D29B9"/>
    <w:rsid w:val="006E7B34"/>
    <w:rsid w:val="0070300B"/>
    <w:rsid w:val="00707B28"/>
    <w:rsid w:val="00735E0A"/>
    <w:rsid w:val="00771E2D"/>
    <w:rsid w:val="00771ECF"/>
    <w:rsid w:val="007746EA"/>
    <w:rsid w:val="007A0E03"/>
    <w:rsid w:val="007C7D30"/>
    <w:rsid w:val="00813261"/>
    <w:rsid w:val="0082248D"/>
    <w:rsid w:val="00846EF0"/>
    <w:rsid w:val="008C26AF"/>
    <w:rsid w:val="008E314F"/>
    <w:rsid w:val="008F28E0"/>
    <w:rsid w:val="008F4CB3"/>
    <w:rsid w:val="0092670B"/>
    <w:rsid w:val="0093562A"/>
    <w:rsid w:val="009A63E0"/>
    <w:rsid w:val="009B2257"/>
    <w:rsid w:val="009D7739"/>
    <w:rsid w:val="00A13738"/>
    <w:rsid w:val="00A14EB3"/>
    <w:rsid w:val="00A40A22"/>
    <w:rsid w:val="00A44993"/>
    <w:rsid w:val="00A547F8"/>
    <w:rsid w:val="00A62EA0"/>
    <w:rsid w:val="00A758D0"/>
    <w:rsid w:val="00AC1F2A"/>
    <w:rsid w:val="00AF12B3"/>
    <w:rsid w:val="00B02ED0"/>
    <w:rsid w:val="00B16653"/>
    <w:rsid w:val="00B6646B"/>
    <w:rsid w:val="00B73529"/>
    <w:rsid w:val="00B8182E"/>
    <w:rsid w:val="00B840F1"/>
    <w:rsid w:val="00BA5828"/>
    <w:rsid w:val="00BC0E12"/>
    <w:rsid w:val="00BC69F6"/>
    <w:rsid w:val="00BE271F"/>
    <w:rsid w:val="00C031AC"/>
    <w:rsid w:val="00C15682"/>
    <w:rsid w:val="00C271D3"/>
    <w:rsid w:val="00C7259B"/>
    <w:rsid w:val="00C7354C"/>
    <w:rsid w:val="00CA2424"/>
    <w:rsid w:val="00CB7933"/>
    <w:rsid w:val="00D128BD"/>
    <w:rsid w:val="00D40ADC"/>
    <w:rsid w:val="00D5658C"/>
    <w:rsid w:val="00D70DC0"/>
    <w:rsid w:val="00D84A60"/>
    <w:rsid w:val="00DA1F9F"/>
    <w:rsid w:val="00DB1B11"/>
    <w:rsid w:val="00DE2269"/>
    <w:rsid w:val="00DE541A"/>
    <w:rsid w:val="00DE6A3B"/>
    <w:rsid w:val="00DF1BE6"/>
    <w:rsid w:val="00DF2E1A"/>
    <w:rsid w:val="00E00B21"/>
    <w:rsid w:val="00E073E0"/>
    <w:rsid w:val="00E71ADA"/>
    <w:rsid w:val="00E84F5F"/>
    <w:rsid w:val="00EA2F25"/>
    <w:rsid w:val="00EC72D0"/>
    <w:rsid w:val="00ED2ED9"/>
    <w:rsid w:val="00ED7EC5"/>
    <w:rsid w:val="00EE5CE6"/>
    <w:rsid w:val="00EE70FB"/>
    <w:rsid w:val="00F0333A"/>
    <w:rsid w:val="00F101B4"/>
    <w:rsid w:val="00F61AFF"/>
    <w:rsid w:val="00F81EA4"/>
    <w:rsid w:val="00F9742B"/>
    <w:rsid w:val="00FC0258"/>
    <w:rsid w:val="00FD0BF0"/>
    <w:rsid w:val="00FD20A1"/>
    <w:rsid w:val="00FE22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775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 w:type="paragraph" w:styleId="ListParagraph">
    <w:name w:val="List Paragraph"/>
    <w:basedOn w:val="Normal"/>
    <w:uiPriority w:val="34"/>
    <w:qFormat/>
    <w:rsid w:val="0007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yperlink" Target="http://ppskinder.weebly.com/assessment1.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inemann.com/" TargetMode="External"/><Relationship Id="rId8" Type="http://schemas.openxmlformats.org/officeDocument/2006/relationships/hyperlink" Target="https://safeshare.tv/x/ss58cc19ec585b9" TargetMode="External"/><Relationship Id="rId9" Type="http://schemas.openxmlformats.org/officeDocument/2006/relationships/hyperlink" Target="http://www.heinemann.com" TargetMode="External"/><Relationship Id="rId10"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5595</CharactersWithSpaces>
  <SharedDoc>false</SharedDoc>
  <HLinks>
    <vt:vector size="24" baseType="variant">
      <vt:variant>
        <vt:i4>327700</vt:i4>
      </vt:variant>
      <vt:variant>
        <vt:i4>9</vt:i4>
      </vt:variant>
      <vt:variant>
        <vt:i4>0</vt:i4>
      </vt:variant>
      <vt:variant>
        <vt:i4>5</vt:i4>
      </vt:variant>
      <vt:variant>
        <vt:lpwstr>http://ppskinder.weebly.com/assessment4.html</vt:lpwstr>
      </vt:variant>
      <vt:variant>
        <vt:lpwstr/>
      </vt:variant>
      <vt:variant>
        <vt:i4>327699</vt:i4>
      </vt:variant>
      <vt:variant>
        <vt:i4>6</vt:i4>
      </vt:variant>
      <vt:variant>
        <vt:i4>0</vt:i4>
      </vt:variant>
      <vt:variant>
        <vt:i4>5</vt:i4>
      </vt:variant>
      <vt:variant>
        <vt:lpwstr>http://ppskinder.weebly.com/assessment3.html</vt:lpwstr>
      </vt:variant>
      <vt:variant>
        <vt:lpwstr/>
      </vt:variant>
      <vt:variant>
        <vt:i4>3014738</vt:i4>
      </vt:variant>
      <vt:variant>
        <vt:i4>3</vt:i4>
      </vt:variant>
      <vt:variant>
        <vt:i4>0</vt:i4>
      </vt:variant>
      <vt:variant>
        <vt:i4>5</vt:i4>
      </vt:variant>
      <vt:variant>
        <vt:lpwstr>http://ppskinder.weebly.com/teaching-resources.html</vt:lpwstr>
      </vt:variant>
      <vt:variant>
        <vt:lpwstr/>
      </vt:variant>
      <vt:variant>
        <vt:i4>7143459</vt:i4>
      </vt:variant>
      <vt:variant>
        <vt:i4>0</vt:i4>
      </vt:variant>
      <vt:variant>
        <vt:i4>0</vt:i4>
      </vt:variant>
      <vt:variant>
        <vt:i4>5</vt:i4>
      </vt:variant>
      <vt:variant>
        <vt:lpwstr>http://ppskinder.weebly.com/mentor-texts1.html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2017-03-16T19:28:00Z</cp:lastPrinted>
  <dcterms:created xsi:type="dcterms:W3CDTF">2017-03-17T17:35:00Z</dcterms:created>
  <dcterms:modified xsi:type="dcterms:W3CDTF">2017-03-17T17:35:00Z</dcterms:modified>
</cp:coreProperties>
</file>